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FD" w:rsidRDefault="004E36FD" w:rsidP="004E36FD">
      <w:pPr>
        <w:spacing w:line="500" w:lineRule="exact"/>
        <w:jc w:val="center"/>
        <w:rPr>
          <w:rFonts w:ascii="微软雅黑" w:eastAsia="微软雅黑" w:hAnsi="微软雅黑" w:hint="eastAsia"/>
          <w:b/>
          <w:sz w:val="36"/>
          <w:szCs w:val="36"/>
        </w:rPr>
      </w:pPr>
    </w:p>
    <w:p w:rsidR="004E36FD" w:rsidRPr="004E36FD" w:rsidRDefault="004E36FD" w:rsidP="004E36FD">
      <w:pPr>
        <w:spacing w:line="500" w:lineRule="exact"/>
        <w:jc w:val="center"/>
        <w:rPr>
          <w:rFonts w:ascii="微软雅黑" w:eastAsia="微软雅黑" w:hAnsi="微软雅黑" w:hint="eastAsia"/>
          <w:b/>
          <w:sz w:val="36"/>
          <w:szCs w:val="36"/>
        </w:rPr>
      </w:pPr>
      <w:r w:rsidRPr="004E36FD">
        <w:rPr>
          <w:rFonts w:ascii="微软雅黑" w:eastAsia="微软雅黑" w:hAnsi="微软雅黑" w:hint="eastAsia"/>
          <w:b/>
          <w:sz w:val="36"/>
          <w:szCs w:val="36"/>
        </w:rPr>
        <w:t>最高人民法院关于正确处理轮候查封效力相关问题的通知</w:t>
      </w:r>
    </w:p>
    <w:p w:rsidR="004E36FD" w:rsidRPr="004E36FD" w:rsidRDefault="004E36FD" w:rsidP="004E36FD">
      <w:pPr>
        <w:spacing w:line="240" w:lineRule="exact"/>
        <w:jc w:val="center"/>
        <w:rPr>
          <w:rFonts w:ascii="微软雅黑" w:eastAsia="微软雅黑" w:hAnsi="微软雅黑"/>
          <w:sz w:val="22"/>
          <w:szCs w:val="22"/>
        </w:rPr>
      </w:pPr>
    </w:p>
    <w:p w:rsidR="004E36FD" w:rsidRPr="004E36FD" w:rsidRDefault="004E36FD" w:rsidP="004E36FD">
      <w:pPr>
        <w:spacing w:line="240" w:lineRule="exact"/>
        <w:jc w:val="center"/>
        <w:rPr>
          <w:rFonts w:ascii="微软雅黑" w:eastAsia="微软雅黑" w:hAnsi="微软雅黑"/>
          <w:sz w:val="22"/>
          <w:szCs w:val="22"/>
        </w:rPr>
      </w:pPr>
      <w:r w:rsidRPr="004E36FD">
        <w:rPr>
          <w:rFonts w:ascii="微软雅黑" w:eastAsia="微软雅黑" w:hAnsi="微软雅黑" w:hint="eastAsia"/>
          <w:sz w:val="22"/>
          <w:szCs w:val="22"/>
        </w:rPr>
        <w:t>法〔2022〕107号</w:t>
      </w:r>
    </w:p>
    <w:p w:rsidR="004E36FD" w:rsidRPr="004E36FD" w:rsidRDefault="004E36FD" w:rsidP="004E36FD">
      <w:pPr>
        <w:spacing w:line="500" w:lineRule="exact"/>
        <w:rPr>
          <w:rFonts w:ascii="微软雅黑" w:eastAsia="微软雅黑" w:hAnsi="微软雅黑"/>
          <w:sz w:val="24"/>
        </w:rPr>
      </w:pPr>
    </w:p>
    <w:p w:rsidR="004E36FD" w:rsidRPr="004E36FD" w:rsidRDefault="004E36FD" w:rsidP="004E36FD">
      <w:pPr>
        <w:spacing w:line="500" w:lineRule="exact"/>
        <w:rPr>
          <w:rFonts w:ascii="微软雅黑" w:eastAsia="微软雅黑" w:hAnsi="微软雅黑"/>
          <w:sz w:val="24"/>
        </w:rPr>
      </w:pPr>
      <w:r w:rsidRPr="004E36FD">
        <w:rPr>
          <w:rFonts w:ascii="微软雅黑" w:eastAsia="微软雅黑" w:hAnsi="微软雅黑" w:hint="eastAsia"/>
          <w:sz w:val="24"/>
        </w:rPr>
        <w:t>各省、自治区、直辖市高级人民法院，新疆维吾尔自治区高级人民法院生产建设兵团分院：</w:t>
      </w:r>
    </w:p>
    <w:p w:rsidR="004E36FD" w:rsidRPr="004E36FD" w:rsidRDefault="004E36FD" w:rsidP="004E36FD">
      <w:pPr>
        <w:spacing w:line="500" w:lineRule="exact"/>
        <w:rPr>
          <w:rFonts w:ascii="微软雅黑" w:eastAsia="微软雅黑" w:hAnsi="微软雅黑" w:hint="eastAsia"/>
          <w:sz w:val="24"/>
        </w:rPr>
      </w:pPr>
      <w:r w:rsidRPr="004E36FD">
        <w:rPr>
          <w:rFonts w:ascii="微软雅黑" w:eastAsia="微软雅黑" w:hAnsi="微软雅黑" w:hint="eastAsia"/>
          <w:sz w:val="24"/>
        </w:rPr>
        <w:t xml:space="preserve">　　轮候查封制度对于确保人民法院间查封处置财产的有序衔接，防止债务人转移财产规避执行，维护轮候查封债权人合法权益，具有重要作用。但实践中部分法院未能准确掌握和运用轮候查封制度，尤其在首封法院处置查封物所得价款由在先查封债权人受偿后有剩余的情况下对轮候查封效力问题存在错误认识，导致相关财产处置损害轮候查封债权人合法权益。为了正确处理轮候查封效力相关问题，现将有关事项通知如下。</w:t>
      </w:r>
    </w:p>
    <w:p w:rsidR="004E36FD" w:rsidRPr="004E36FD" w:rsidRDefault="004E36FD" w:rsidP="004E36FD">
      <w:pPr>
        <w:spacing w:line="500" w:lineRule="exact"/>
        <w:rPr>
          <w:rFonts w:ascii="微软雅黑" w:eastAsia="微软雅黑" w:hAnsi="微软雅黑" w:hint="eastAsia"/>
          <w:sz w:val="24"/>
        </w:rPr>
      </w:pPr>
      <w:r w:rsidRPr="004E36FD">
        <w:rPr>
          <w:rFonts w:ascii="微软雅黑" w:eastAsia="微软雅黑" w:hAnsi="微软雅黑" w:hint="eastAsia"/>
          <w:sz w:val="24"/>
        </w:rPr>
        <w:t xml:space="preserve">　　一、轮候查封具有确保轮候查封债权人能够取得首封债权人从查封物变价款受偿后剩余部分的作用。首封法院对查封物处置变现后，首封债权人受偿后变价款有剩余的，该剩余价款属于轮候查封物的替代物，轮候查封的效力应当及于该替代物，即对于查封物变价款中多于首封债权人应得数额部分有正式查封的效力。轮候查封债权人对该剩余价款有权主张相应权利。</w:t>
      </w:r>
    </w:p>
    <w:p w:rsidR="004E36FD" w:rsidRPr="004E36FD" w:rsidRDefault="004E36FD" w:rsidP="004E36FD">
      <w:pPr>
        <w:spacing w:line="500" w:lineRule="exact"/>
        <w:rPr>
          <w:rFonts w:ascii="微软雅黑" w:eastAsia="微软雅黑" w:hAnsi="微软雅黑" w:hint="eastAsia"/>
          <w:sz w:val="24"/>
        </w:rPr>
      </w:pPr>
      <w:r w:rsidRPr="004E36FD">
        <w:rPr>
          <w:rFonts w:ascii="微软雅黑" w:eastAsia="微软雅黑" w:hAnsi="微软雅黑" w:hint="eastAsia"/>
          <w:sz w:val="24"/>
        </w:rPr>
        <w:t xml:space="preserve">　　二、轮候查封对于首封处置法院有约束力。首封法院在所处置的查封物有轮候查封的情况下，对于查封物变价款清偿首封债权人后的剩余部分，不能径行返还被执行人，首封债权人和被执行人也无权自行或协商处理。首封法院有义务将相关处置情况告知变价款处置前已知的轮候查封法院，并将剩余变价款移交给轮候查封法院，由轮候查封法院依法处理；轮候查封法院案件尚在诉讼程序中的，应由首封处置法院予以留存，待审判确定后依法处理。</w:t>
      </w:r>
    </w:p>
    <w:p w:rsidR="004E36FD" w:rsidRPr="004E36FD" w:rsidRDefault="004E36FD" w:rsidP="004E36FD">
      <w:pPr>
        <w:spacing w:line="500" w:lineRule="exact"/>
        <w:rPr>
          <w:rFonts w:ascii="微软雅黑" w:eastAsia="微软雅黑" w:hAnsi="微软雅黑" w:hint="eastAsia"/>
          <w:sz w:val="24"/>
        </w:rPr>
      </w:pPr>
      <w:r w:rsidRPr="004E36FD">
        <w:rPr>
          <w:rFonts w:ascii="微软雅黑" w:eastAsia="微软雅黑" w:hAnsi="微软雅黑" w:hint="eastAsia"/>
          <w:sz w:val="24"/>
        </w:rPr>
        <w:t xml:space="preserve">　　三、首封处置法院在明知拍卖标的物有轮候查封的情况下，违反上述义务，径行将剩余变价款退还被执行人的，构成执行错误。</w:t>
      </w:r>
    </w:p>
    <w:p w:rsidR="004E36FD" w:rsidRPr="004E36FD" w:rsidRDefault="004E36FD" w:rsidP="004E36FD">
      <w:pPr>
        <w:spacing w:line="500" w:lineRule="exact"/>
        <w:rPr>
          <w:rFonts w:ascii="微软雅黑" w:eastAsia="微软雅黑" w:hAnsi="微软雅黑" w:hint="eastAsia"/>
          <w:sz w:val="24"/>
        </w:rPr>
      </w:pPr>
      <w:r w:rsidRPr="004E36FD">
        <w:rPr>
          <w:rFonts w:ascii="微软雅黑" w:eastAsia="微软雅黑" w:hAnsi="微软雅黑" w:hint="eastAsia"/>
          <w:sz w:val="24"/>
        </w:rPr>
        <w:t xml:space="preserve">　　请各级人民法院严格遵照执行上述要求，遇有问题，请及时层报最高人民法院。</w:t>
      </w:r>
    </w:p>
    <w:p w:rsidR="004E36FD" w:rsidRPr="004E36FD" w:rsidRDefault="004E36FD" w:rsidP="004E36FD">
      <w:pPr>
        <w:spacing w:line="500" w:lineRule="exact"/>
        <w:jc w:val="right"/>
        <w:rPr>
          <w:rFonts w:ascii="微软雅黑" w:eastAsia="微软雅黑" w:hAnsi="微软雅黑"/>
          <w:sz w:val="24"/>
        </w:rPr>
      </w:pPr>
    </w:p>
    <w:p w:rsidR="004E36FD" w:rsidRPr="004E36FD" w:rsidRDefault="004E36FD" w:rsidP="004E36FD">
      <w:pPr>
        <w:spacing w:line="500" w:lineRule="exact"/>
        <w:jc w:val="right"/>
        <w:rPr>
          <w:rFonts w:ascii="微软雅黑" w:eastAsia="微软雅黑" w:hAnsi="微软雅黑" w:hint="eastAsia"/>
          <w:sz w:val="24"/>
        </w:rPr>
      </w:pPr>
      <w:r w:rsidRPr="004E36FD">
        <w:rPr>
          <w:rFonts w:ascii="微软雅黑" w:eastAsia="微软雅黑" w:hAnsi="微软雅黑" w:hint="eastAsia"/>
          <w:sz w:val="24"/>
        </w:rPr>
        <w:t>最高人民法院</w:t>
      </w:r>
    </w:p>
    <w:p w:rsidR="003B2256" w:rsidRPr="004E36FD" w:rsidRDefault="004E36FD" w:rsidP="004E36FD">
      <w:pPr>
        <w:spacing w:line="500" w:lineRule="exact"/>
        <w:jc w:val="right"/>
        <w:rPr>
          <w:rFonts w:ascii="微软雅黑" w:eastAsia="微软雅黑" w:hAnsi="微软雅黑"/>
          <w:sz w:val="24"/>
        </w:rPr>
      </w:pPr>
      <w:r w:rsidRPr="004E36FD">
        <w:rPr>
          <w:rFonts w:ascii="微软雅黑" w:eastAsia="微软雅黑" w:hAnsi="微软雅黑" w:hint="eastAsia"/>
          <w:sz w:val="24"/>
        </w:rPr>
        <w:t xml:space="preserve">　　2022年4月14日</w:t>
      </w:r>
    </w:p>
    <w:sectPr w:rsidR="003B2256" w:rsidRPr="004E36FD"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5BC" w:rsidRDefault="00E175BC" w:rsidP="003B2256">
      <w:r>
        <w:separator/>
      </w:r>
    </w:p>
  </w:endnote>
  <w:endnote w:type="continuationSeparator" w:id="0">
    <w:p w:rsidR="00E175BC" w:rsidRDefault="00E175BC"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65996">
    <w:pPr>
      <w:tabs>
        <w:tab w:val="center" w:pos="4153"/>
        <w:tab w:val="right" w:pos="8306"/>
      </w:tabs>
      <w:rPr>
        <w:rFonts w:ascii="宋体" w:hAnsi="宋体" w:cs="宋体"/>
        <w:sz w:val="28"/>
        <w:szCs w:val="28"/>
      </w:rPr>
    </w:pPr>
    <w:r w:rsidRPr="00C65996">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C659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5996">
                  <w:rPr>
                    <w:rFonts w:ascii="宋体" w:hAnsi="宋体" w:cs="宋体" w:hint="eastAsia"/>
                    <w:sz w:val="28"/>
                    <w:szCs w:val="28"/>
                  </w:rPr>
                  <w:fldChar w:fldCharType="separate"/>
                </w:r>
                <w:r w:rsidR="00143413">
                  <w:rPr>
                    <w:rFonts w:ascii="宋体" w:hAnsi="宋体" w:cs="宋体"/>
                    <w:noProof/>
                    <w:sz w:val="28"/>
                    <w:szCs w:val="28"/>
                  </w:rPr>
                  <w:t>2</w:t>
                </w:r>
                <w:r w:rsidR="00C659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65996">
    <w:pPr>
      <w:tabs>
        <w:tab w:val="center" w:pos="4153"/>
        <w:tab w:val="right" w:pos="8306"/>
      </w:tabs>
      <w:rPr>
        <w:rFonts w:ascii="宋体" w:hAnsi="宋体" w:cs="宋体"/>
        <w:sz w:val="28"/>
        <w:szCs w:val="28"/>
      </w:rPr>
    </w:pPr>
    <w:r w:rsidRPr="00C6599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659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65996">
                  <w:rPr>
                    <w:rFonts w:ascii="宋体" w:hAnsi="宋体" w:cs="宋体" w:hint="eastAsia"/>
                    <w:sz w:val="28"/>
                    <w:szCs w:val="28"/>
                  </w:rPr>
                  <w:fldChar w:fldCharType="separate"/>
                </w:r>
                <w:r w:rsidR="004E36FD">
                  <w:rPr>
                    <w:rFonts w:ascii="宋体" w:hAnsi="宋体" w:cs="宋体"/>
                    <w:noProof/>
                    <w:sz w:val="28"/>
                    <w:szCs w:val="28"/>
                  </w:rPr>
                  <w:t>1</w:t>
                </w:r>
                <w:r w:rsidR="00C659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5BC" w:rsidRDefault="00E175BC" w:rsidP="003B2256">
      <w:r>
        <w:separator/>
      </w:r>
    </w:p>
  </w:footnote>
  <w:footnote w:type="continuationSeparator" w:id="0">
    <w:p w:rsidR="00E175BC" w:rsidRDefault="00E175BC"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4E36FD"/>
    <w:rsid w:val="00554EB8"/>
    <w:rsid w:val="0064282F"/>
    <w:rsid w:val="00690873"/>
    <w:rsid w:val="007630C3"/>
    <w:rsid w:val="00793835"/>
    <w:rsid w:val="007B0DAB"/>
    <w:rsid w:val="00803A63"/>
    <w:rsid w:val="00872005"/>
    <w:rsid w:val="00984D89"/>
    <w:rsid w:val="009969A5"/>
    <w:rsid w:val="009E1211"/>
    <w:rsid w:val="00C65996"/>
    <w:rsid w:val="00CF39F7"/>
    <w:rsid w:val="00D619CC"/>
    <w:rsid w:val="00D771C4"/>
    <w:rsid w:val="00DD58FE"/>
    <w:rsid w:val="00E175BC"/>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1</Pages>
  <Words>112</Words>
  <Characters>641</Characters>
  <Application>Microsoft Office Word</Application>
  <DocSecurity>0</DocSecurity>
  <Lines>5</Lines>
  <Paragraphs>1</Paragraphs>
  <ScaleCrop>false</ScaleCrop>
  <Company>Newdaxie</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